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FFA0" w14:textId="3148D77A" w:rsidR="00CF4799" w:rsidRPr="00E161ED" w:rsidRDefault="00E161ED" w:rsidP="00E161ED">
      <w:pPr>
        <w:jc w:val="center"/>
        <w:rPr>
          <w:rFonts w:ascii="Times New Roman" w:hAnsi="Times New Roman" w:cs="Times New Roman"/>
          <w:b/>
          <w:bCs/>
          <w:color w:val="EE0000"/>
          <w:sz w:val="32"/>
          <w:szCs w:val="32"/>
        </w:rPr>
      </w:pPr>
      <w:r w:rsidRPr="00E161ED">
        <w:rPr>
          <w:rFonts w:ascii="Times New Roman" w:hAnsi="Times New Roman" w:cs="Times New Roman"/>
          <w:b/>
          <w:bCs/>
          <w:color w:val="EE0000"/>
          <w:sz w:val="30"/>
          <w:szCs w:val="32"/>
        </w:rPr>
        <w:t>NEWSLETTER NO. 2</w:t>
      </w:r>
    </w:p>
    <w:p w14:paraId="6B623E70" w14:textId="15D2AA65" w:rsidR="00E161ED" w:rsidRDefault="00E161ED" w:rsidP="00E161ED">
      <w:pPr>
        <w:jc w:val="center"/>
        <w:rPr>
          <w:b/>
          <w:bCs/>
        </w:rPr>
      </w:pPr>
      <w:r>
        <w:rPr>
          <w:b/>
          <w:bCs/>
        </w:rPr>
        <w:t>THE ROMANIAN EMPLOYER’S LEAGUE OF THE MILLING, BAKERY AND FLOUR BASED PRODUCTS INDUSTRY</w:t>
      </w:r>
    </w:p>
    <w:p w14:paraId="0A6DFCA5" w14:textId="40EFC9A3" w:rsidR="00E161ED" w:rsidRDefault="00E161ED" w:rsidP="00E161ED">
      <w:pPr>
        <w:jc w:val="center"/>
        <w:rPr>
          <w:b/>
          <w:bCs/>
        </w:rPr>
      </w:pPr>
      <w:r>
        <w:rPr>
          <w:b/>
          <w:bCs/>
        </w:rPr>
        <w:t>KA220-HED – Cooperation partnership in higher education</w:t>
      </w:r>
    </w:p>
    <w:p w14:paraId="78272547" w14:textId="4FEB61A5" w:rsidR="00E161ED" w:rsidRDefault="00E161ED" w:rsidP="00E161ED">
      <w:pPr>
        <w:jc w:val="center"/>
        <w:rPr>
          <w:b/>
          <w:bCs/>
        </w:rPr>
      </w:pPr>
      <w:r>
        <w:rPr>
          <w:b/>
          <w:bCs/>
        </w:rPr>
        <w:t>Contract No. 2024-1-RO01-KA220-HED-000246776</w:t>
      </w:r>
    </w:p>
    <w:p w14:paraId="3E2B2A6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project promotes the exchange and dissemination of knowledge on the sustainable valorisation of agro-food chain byproducts, bringing together higher education institutions, research organisations and industry representatives. Through educational resources, international training activities and stakeholder engagement, eAfoBy aims to increase awareness of innovative solutions that can transform agro-food byproducts into valuable resources.</w:t>
      </w:r>
    </w:p>
    <w:p w14:paraId="190630F9"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By sharing scientific knowledge and practical examples, the project supports the transfer of research-based information to students, specialists, food businesses and other stakeholders, encouraging more sustainable practices throughout the agro-food chain.</w:t>
      </w:r>
    </w:p>
    <w:p w14:paraId="1D91707D" w14:textId="77777777" w:rsidR="005D5555" w:rsidRPr="005D5555" w:rsidRDefault="005D5555" w:rsidP="005D5555">
      <w:pPr>
        <w:spacing w:before="100" w:beforeAutospacing="1" w:after="100" w:afterAutospacing="1" w:line="240" w:lineRule="auto"/>
        <w:jc w:val="both"/>
        <w:outlineLvl w:val="1"/>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Work package 1 – Project management and coordination</w:t>
      </w:r>
    </w:p>
    <w:p w14:paraId="6F952F71"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Effective project management and communication provide the foundation for the successful dissemination of project results. Throughout the reporting period, ROMPAN maintained regular communication with the Project Coordinator and the other consortium partners, supporting the exchange of information, coordination of activities and preparation of project documentation.</w:t>
      </w:r>
    </w:p>
    <w:p w14:paraId="4949FF8E"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Monitoring progress, maintaining supporting records and contributing to technical and financial reporting helped ensure that the activities implemented by ROMPAN remained aligned with the project objectives and implementation schedule.</w:t>
      </w:r>
    </w:p>
    <w:p w14:paraId="36DDCE04"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These coordination efforts also supported the organisation of dissemination activities and the exchange of information between the academic and business communities, helping maintain a consistent approach to communicating the project’s objectives and results.</w:t>
      </w:r>
    </w:p>
    <w:p w14:paraId="76354AB6" w14:textId="77777777" w:rsidR="005D5555" w:rsidRPr="005D5555" w:rsidRDefault="005D5555" w:rsidP="005D5555">
      <w:pPr>
        <w:spacing w:before="100" w:beforeAutospacing="1" w:after="100" w:afterAutospacing="1" w:line="240" w:lineRule="auto"/>
        <w:jc w:val="both"/>
        <w:outlineLvl w:val="1"/>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Work package 2 – Mobility and communication</w:t>
      </w:r>
    </w:p>
    <w:p w14:paraId="7580317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International mobility and communication activities play an important role in disseminating knowledge and sharing good practices across countries and professional communities.</w:t>
      </w:r>
    </w:p>
    <w:p w14:paraId="51F653C2"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 xml:space="preserve">The eAfoBy training programme addresses the sustainable valorisation of agro-food byproducts, food technology, food safety, nutrition and innovative processing methods. By bringing together </w:t>
      </w:r>
      <w:r w:rsidRPr="005D5555">
        <w:rPr>
          <w:rFonts w:ascii="Times New Roman" w:eastAsia="Times New Roman" w:hAnsi="Times New Roman" w:cs="Times New Roman"/>
          <w:sz w:val="24"/>
          <w:szCs w:val="24"/>
          <w:lang w:val="ro-RO" w:eastAsia="ro-RO"/>
        </w:rPr>
        <w:lastRenderedPageBreak/>
        <w:t>specialists and students, these activities create opportunities to exchange expertise and communicate scientific and technical information in an accessible and practical context.</w:t>
      </w:r>
    </w:p>
    <w:p w14:paraId="71F815DC"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During the reporting period, ROMPAN participated in the planned mobility and training activities through the involvement of two experts. Their participation supported the exchange of professional experience and contributed to strengthening cooperation between project partners.</w:t>
      </w:r>
    </w:p>
    <w:p w14:paraId="556B97B3"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Communication through email, telephone, WhatsApp and online meetings further facilitated the exchange of information about activities, implementation progress and follow-up actions. These channels supported continuous cooperation and helped maintain the flow of information throughout the partnership.</w:t>
      </w:r>
    </w:p>
    <w:p w14:paraId="1BA794C2" w14:textId="77777777" w:rsidR="005D5555" w:rsidRPr="005D5555" w:rsidRDefault="005D5555" w:rsidP="005D5555">
      <w:pPr>
        <w:spacing w:before="100" w:beforeAutospacing="1" w:after="100" w:afterAutospacing="1" w:line="240" w:lineRule="auto"/>
        <w:jc w:val="both"/>
        <w:outlineLvl w:val="1"/>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Work package 3 – Transferring knowledge: Educational resources for wider dissemination</w:t>
      </w:r>
    </w:p>
    <w:p w14:paraId="07028B14"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A key element of the eAfoBy dissemination strategy is the development of educational and technical resources that make knowledge about agro-food byproduct valorisation available to students, specialists and professionals.</w:t>
      </w:r>
    </w:p>
    <w:p w14:paraId="079E4560"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 xml:space="preserve">During February 2026, ROMPAN continued its contribution to the </w:t>
      </w:r>
      <w:r w:rsidRPr="005D5555">
        <w:rPr>
          <w:rFonts w:ascii="Times New Roman" w:eastAsia="Times New Roman" w:hAnsi="Times New Roman" w:cs="Times New Roman"/>
          <w:b/>
          <w:bCs/>
          <w:sz w:val="24"/>
          <w:szCs w:val="24"/>
          <w:lang w:val="ro-RO" w:eastAsia="ro-RO"/>
        </w:rPr>
        <w:t>Guide for Agriculture, Food Technology, Food Safety, Food Control and Nutrition Specialists</w:t>
      </w:r>
      <w:r w:rsidRPr="005D5555">
        <w:rPr>
          <w:rFonts w:ascii="Times New Roman" w:eastAsia="Times New Roman" w:hAnsi="Times New Roman" w:cs="Times New Roman"/>
          <w:sz w:val="24"/>
          <w:szCs w:val="24"/>
          <w:lang w:val="ro-RO" w:eastAsia="ro-RO"/>
        </w:rPr>
        <w:t>, with a particular focus on cereal byproducts.</w:t>
      </w:r>
    </w:p>
    <w:p w14:paraId="5DD835CF"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ROMPAN team contributed to three chapters:</w:t>
      </w:r>
    </w:p>
    <w:p w14:paraId="4A954068" w14:textId="77777777" w:rsidR="005D5555" w:rsidRPr="005D5555" w:rsidRDefault="005D5555" w:rsidP="005D555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b/>
          <w:bCs/>
          <w:sz w:val="24"/>
          <w:szCs w:val="24"/>
          <w:lang w:val="ro-RO" w:eastAsia="ro-RO"/>
        </w:rPr>
        <w:t>Chapter 2 – Byproducts Sources in Agro-Food Chains</w:t>
      </w:r>
    </w:p>
    <w:p w14:paraId="5AD4B96F" w14:textId="77777777" w:rsidR="005D5555" w:rsidRPr="005D5555" w:rsidRDefault="005D5555" w:rsidP="005D555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b/>
          <w:bCs/>
          <w:sz w:val="24"/>
          <w:szCs w:val="24"/>
          <w:lang w:val="ro-RO" w:eastAsia="ro-RO"/>
        </w:rPr>
        <w:t>Chapter 3 – Innovative and Sustainable Valorization Technologies</w:t>
      </w:r>
    </w:p>
    <w:p w14:paraId="2DDAC77E" w14:textId="77777777" w:rsidR="005D5555" w:rsidRPr="005D5555" w:rsidRDefault="005D5555" w:rsidP="005D5555">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b/>
          <w:bCs/>
          <w:sz w:val="24"/>
          <w:szCs w:val="24"/>
          <w:lang w:val="ro-RO" w:eastAsia="ro-RO"/>
        </w:rPr>
        <w:t>Chapter 4 – Valorization Strategies to Enhance Nutritional and Functional Potential</w:t>
      </w:r>
    </w:p>
    <w:p w14:paraId="3D240364"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These contributions support the dissemination of information on the origin and characteristics of agro-food byproducts, innovative processing technologies and strategies for enhancing their nutritional and functional potential.</w:t>
      </w:r>
    </w:p>
    <w:p w14:paraId="29A2EC4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guide addresses topics of relevance to both education and industry, including the chemical composition of byproducts, macronutrients, micronutrients, functional ingredients and bioactive compounds. It also explores innovative approaches such as fermentation, extrusion and 3D food printing, highlighting their potential applications in the development of new food products.</w:t>
      </w:r>
    </w:p>
    <w:p w14:paraId="6A4EDDD8"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 xml:space="preserve">From a dissemination perspective, these resources provide a structured way to communicate technical knowledge beyond the project partnership. They can support teaching and learning </w:t>
      </w:r>
      <w:r w:rsidRPr="005D5555">
        <w:rPr>
          <w:rFonts w:ascii="Times New Roman" w:eastAsia="Times New Roman" w:hAnsi="Times New Roman" w:cs="Times New Roman"/>
          <w:sz w:val="24"/>
          <w:szCs w:val="24"/>
          <w:lang w:val="ro-RO" w:eastAsia="ro-RO"/>
        </w:rPr>
        <w:lastRenderedPageBreak/>
        <w:t>activities, inform professionals about emerging technologies and encourage further dialogue between researchers, educators and food industry representatives.</w:t>
      </w:r>
    </w:p>
    <w:p w14:paraId="6EA18BF2"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By contributing expertise from the milling and bakery sector, ROMPAN helps connect scientific information with practical industry needs and supports the wider transfer of project knowledge to relevant stakeholders.</w:t>
      </w:r>
    </w:p>
    <w:p w14:paraId="4682B302" w14:textId="77777777" w:rsidR="005D5555" w:rsidRPr="005D5555" w:rsidRDefault="005D5555" w:rsidP="005D5555">
      <w:pPr>
        <w:spacing w:before="100" w:beforeAutospacing="1" w:after="100" w:afterAutospacing="1" w:line="240" w:lineRule="auto"/>
        <w:jc w:val="both"/>
        <w:outlineLvl w:val="1"/>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Work package 4 – Awareness actions and dissemination of project results</w:t>
      </w:r>
    </w:p>
    <w:p w14:paraId="1F1A2361" w14:textId="77777777" w:rsidR="005D5555" w:rsidRPr="005D5555" w:rsidRDefault="005D5555" w:rsidP="005D5555">
      <w:pPr>
        <w:spacing w:before="100" w:beforeAutospacing="1" w:after="100" w:afterAutospacing="1" w:line="240" w:lineRule="auto"/>
        <w:jc w:val="both"/>
        <w:outlineLvl w:val="2"/>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ROMPAN multiplier event – Sinaia, Romania, 11–12 March 2026</w:t>
      </w:r>
    </w:p>
    <w:p w14:paraId="48CBF6F0"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b/>
          <w:bCs/>
          <w:sz w:val="24"/>
          <w:szCs w:val="24"/>
          <w:lang w:val="ro-RO" w:eastAsia="ro-RO"/>
        </w:rPr>
        <w:t>“Agro food chain by-products, nutritional composition, technological issues and sustainable enhancement”</w:t>
      </w:r>
    </w:p>
    <w:p w14:paraId="53CD1F97"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One of the main dissemination achievements of ROMPAN was the organisation of the two-day multiplier event held in Sinaia, Romania, on 11–12 March 2026.</w:t>
      </w:r>
    </w:p>
    <w:p w14:paraId="7F41CBDA"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 xml:space="preserve">The event brought together representatives of the food industry, academia, distribution and trade, as well as ROMPAN members and other relevant stakeholders. It recorded </w:t>
      </w:r>
      <w:r w:rsidRPr="005D5555">
        <w:rPr>
          <w:rFonts w:ascii="Times New Roman" w:eastAsia="Times New Roman" w:hAnsi="Times New Roman" w:cs="Times New Roman"/>
          <w:b/>
          <w:bCs/>
          <w:sz w:val="24"/>
          <w:szCs w:val="24"/>
          <w:lang w:val="ro-RO" w:eastAsia="ro-RO"/>
        </w:rPr>
        <w:t>56 participants on the first day and 55 participants on the second day</w:t>
      </w:r>
      <w:r w:rsidRPr="005D5555">
        <w:rPr>
          <w:rFonts w:ascii="Times New Roman" w:eastAsia="Times New Roman" w:hAnsi="Times New Roman" w:cs="Times New Roman"/>
          <w:sz w:val="24"/>
          <w:szCs w:val="24"/>
          <w:lang w:val="ro-RO" w:eastAsia="ro-RO"/>
        </w:rPr>
        <w:t>, creating an important opportunity to share project-related knowledge and engage professionals in discussions about sustainable agro-food byproduct valorisation.</w:t>
      </w:r>
    </w:p>
    <w:p w14:paraId="1A366EE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ROMPAN coordinated the event organisation, including logistical arrangements, preparation of materials, invitations and participant management. The event was designed to communicate the scientific, technological and practical relevance of agro-food byproducts and to encourage stakeholders to explore opportunities for their recovery and reuse.</w:t>
      </w:r>
    </w:p>
    <w:p w14:paraId="3549150B" w14:textId="77777777" w:rsidR="005D5555" w:rsidRPr="005D5555" w:rsidRDefault="005D5555" w:rsidP="005D5555">
      <w:pPr>
        <w:spacing w:before="100" w:beforeAutospacing="1" w:after="100" w:afterAutospacing="1" w:line="240" w:lineRule="auto"/>
        <w:jc w:val="both"/>
        <w:outlineLvl w:val="2"/>
        <w:rPr>
          <w:rFonts w:ascii="Times New Roman" w:eastAsia="Times New Roman" w:hAnsi="Times New Roman" w:cs="Times New Roman"/>
          <w:b/>
          <w:bCs/>
          <w:sz w:val="24"/>
          <w:szCs w:val="24"/>
          <w:lang w:val="ro-RO" w:eastAsia="ro-RO"/>
        </w:rPr>
      </w:pPr>
      <w:r w:rsidRPr="005D5555">
        <w:rPr>
          <w:rFonts w:ascii="Times New Roman" w:eastAsia="Times New Roman" w:hAnsi="Times New Roman" w:cs="Times New Roman"/>
          <w:b/>
          <w:bCs/>
          <w:sz w:val="24"/>
          <w:szCs w:val="24"/>
          <w:lang w:val="ro-RO" w:eastAsia="ro-RO"/>
        </w:rPr>
        <w:t>Disseminating scientific knowledge through practical examples</w:t>
      </w:r>
    </w:p>
    <w:p w14:paraId="4FB9164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programme covered a wide range of topics relevant to the food sector, including:</w:t>
      </w:r>
    </w:p>
    <w:p w14:paraId="0A9835A7"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Nutritional and chemical composition of agro-food byproducts.</w:t>
      </w:r>
    </w:p>
    <w:p w14:paraId="0C4F0051"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Bioactive compounds and their potential functional properties.</w:t>
      </w:r>
    </w:p>
    <w:p w14:paraId="4DCBE330"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Advanced extraction methods for recovering valuable components.</w:t>
      </w:r>
    </w:p>
    <w:p w14:paraId="21D79862"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Innovative processing technologies, including fermentation, extrusion and 3D food printing.</w:t>
      </w:r>
    </w:p>
    <w:p w14:paraId="66FDA950"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Bioaccessibility and bioavailability of bioactive compounds.</w:t>
      </w:r>
    </w:p>
    <w:p w14:paraId="2C55475E"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Food safety considerations and the development of functional food products.</w:t>
      </w:r>
    </w:p>
    <w:p w14:paraId="5E9FAACD" w14:textId="77777777" w:rsidR="005D5555" w:rsidRPr="005D5555" w:rsidRDefault="005D5555" w:rsidP="005D555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Technological challenges and practical opportunities for byproduct valorisation.</w:t>
      </w:r>
    </w:p>
    <w:p w14:paraId="2E686985"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lastRenderedPageBreak/>
        <w:t>These topics helped communicate the potential of agro-food byproducts from both scientific and practical perspectives. Particular attention was given to how their composition and technological properties can influence their suitability for new applications.</w:t>
      </w:r>
    </w:p>
    <w:p w14:paraId="76A4CE22"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An industry example discussed during the event was the use of spent grains in bakery products. This case illustrated how a byproduct from one segment of the food industry can become a potential ingredient for another, demonstrating the relevance of resource recovery and circular-economy approaches.</w:t>
      </w:r>
    </w:p>
    <w:p w14:paraId="2B84DEBF"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By presenting practical examples alongside scientific and technological information, the event helped make the project’s themes relevant to professionals working in food processing, product development and related sectors.</w:t>
      </w:r>
    </w:p>
    <w:p w14:paraId="23620A8C" w14:textId="77777777" w:rsidR="005D5555" w:rsidRPr="005D5555" w:rsidRDefault="005D5555" w:rsidP="005D5555">
      <w:pPr>
        <w:spacing w:before="100" w:beforeAutospacing="1" w:after="100" w:afterAutospacing="1" w:line="240" w:lineRule="auto"/>
        <w:jc w:val="both"/>
        <w:outlineLvl w:val="2"/>
        <w:rPr>
          <w:rFonts w:ascii="Times New Roman" w:eastAsia="Times New Roman" w:hAnsi="Times New Roman" w:cs="Times New Roman"/>
          <w:b/>
          <w:bCs/>
          <w:sz w:val="24"/>
          <w:szCs w:val="24"/>
          <w:lang w:val="ro-RO" w:eastAsia="ro-RO"/>
        </w:rPr>
      </w:pPr>
      <w:r w:rsidRPr="005D5555">
        <w:rPr>
          <w:rFonts w:ascii="Times New Roman" w:eastAsia="Times New Roman" w:hAnsi="Times New Roman" w:cs="Times New Roman"/>
          <w:b/>
          <w:bCs/>
          <w:sz w:val="24"/>
          <w:szCs w:val="24"/>
          <w:lang w:val="ro-RO" w:eastAsia="ro-RO"/>
        </w:rPr>
        <w:t>Strengthening engagement between academia and industry</w:t>
      </w:r>
    </w:p>
    <w:p w14:paraId="033B6971"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Beyond the presentation of technical information, the multiplier event created opportunities for dialogue, professional networking and the exchange of experience.</w:t>
      </w:r>
    </w:p>
    <w:p w14:paraId="1948B998"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Participants were encouraged to discuss the applicability of innovative valorisation methods, the challenges associated with incorporating byproducts into food products and the potential environmental and economic benefits of more efficient resource use.</w:t>
      </w:r>
    </w:p>
    <w:p w14:paraId="1604AFC6"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event therefore served not only as a platform for sharing information but also as a meeting point between academia and industry. Such interaction is important for communicating research findings in ways that reflect practical needs and for encouraging stakeholders to consider sustainable solutions within their own professional activities.</w:t>
      </w:r>
    </w:p>
    <w:p w14:paraId="4CD80836"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Feedback from participants was highly positive, particularly regarding the scientific relevance of the topics, the clarity of the presentations and the balance between theoretical knowledge and practical applications.</w:t>
      </w:r>
    </w:p>
    <w:p w14:paraId="16BFCBD2"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event contributed to increasing awareness of innovative and sustainable approaches to agro-food byproduct valorisation and supported the dissemination of the knowledge and tools developed within eAfoBy.</w:t>
      </w:r>
    </w:p>
    <w:p w14:paraId="56FB06B6" w14:textId="77777777" w:rsidR="005D5555" w:rsidRPr="005D5555" w:rsidRDefault="005D5555" w:rsidP="005D5555">
      <w:pPr>
        <w:spacing w:before="100" w:beforeAutospacing="1" w:after="100" w:afterAutospacing="1" w:line="240" w:lineRule="auto"/>
        <w:jc w:val="both"/>
        <w:outlineLvl w:val="2"/>
        <w:rPr>
          <w:rFonts w:ascii="Times New Roman" w:eastAsia="Times New Roman" w:hAnsi="Times New Roman" w:cs="Times New Roman"/>
          <w:b/>
          <w:bCs/>
          <w:sz w:val="24"/>
          <w:szCs w:val="24"/>
          <w:lang w:val="ro-RO" w:eastAsia="ro-RO"/>
        </w:rPr>
      </w:pPr>
      <w:r w:rsidRPr="005D5555">
        <w:rPr>
          <w:rFonts w:ascii="Segoe UI Emoji" w:eastAsia="Times New Roman" w:hAnsi="Segoe UI Emoji" w:cs="Segoe UI Emoji"/>
          <w:b/>
          <w:bCs/>
          <w:sz w:val="24"/>
          <w:szCs w:val="24"/>
          <w:lang w:val="ro-RO" w:eastAsia="ro-RO"/>
        </w:rPr>
        <w:t>🌱</w:t>
      </w:r>
      <w:r w:rsidRPr="005D5555">
        <w:rPr>
          <w:rFonts w:ascii="Times New Roman" w:eastAsia="Times New Roman" w:hAnsi="Times New Roman" w:cs="Times New Roman"/>
          <w:b/>
          <w:bCs/>
          <w:sz w:val="24"/>
          <w:szCs w:val="24"/>
          <w:lang w:val="ro-RO" w:eastAsia="ro-RO"/>
        </w:rPr>
        <w:t xml:space="preserve"> Communicating sustainability and the circular economy</w:t>
      </w:r>
    </w:p>
    <w:p w14:paraId="773D62A2"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The dissemination activities carried out by ROMPAN highlight a central message of the eAfoBy project: agro-food byproducts should be considered not only as residual materials but also as potential sources of valuable nutrients, functional ingredients and resources for innovative applications.</w:t>
      </w:r>
    </w:p>
    <w:p w14:paraId="08FDDDFC"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lastRenderedPageBreak/>
        <w:t>Through the development of educational materials and the organisation of stakeholder events, the project communicates the importance of reducing waste, improving resource efficiency and exploring new opportunities for sustainable food production.</w:t>
      </w:r>
    </w:p>
    <w:p w14:paraId="0E39CD37"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sz w:val="24"/>
          <w:szCs w:val="24"/>
          <w:lang w:val="ro-RO" w:eastAsia="ro-RO"/>
        </w:rPr>
        <w:t>By sharing knowledge with students, specialists, businesses and representatives of academia, eAfoBy contributes to a broader understanding of how innovation and cooperation can support the transition towards more circular and resource-efficient agro-food systems.</w:t>
      </w:r>
    </w:p>
    <w:p w14:paraId="5A826117" w14:textId="77777777" w:rsidR="005D5555" w:rsidRPr="005D5555" w:rsidRDefault="005D5555" w:rsidP="005D5555">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5D5555">
        <w:rPr>
          <w:rFonts w:ascii="Times New Roman" w:eastAsia="Times New Roman" w:hAnsi="Times New Roman" w:cs="Times New Roman"/>
          <w:b/>
          <w:bCs/>
          <w:sz w:val="24"/>
          <w:szCs w:val="24"/>
          <w:lang w:val="ro-RO" w:eastAsia="ro-RO"/>
        </w:rPr>
        <w:t>The ROMPAN Team</w:t>
      </w:r>
    </w:p>
    <w:p w14:paraId="74A2535A" w14:textId="70743F99" w:rsidR="00E161ED" w:rsidRPr="00E161ED" w:rsidRDefault="00E161ED" w:rsidP="00E161ED">
      <w:pPr>
        <w:jc w:val="center"/>
        <w:rPr>
          <w:b/>
          <w:bCs/>
        </w:rPr>
      </w:pPr>
    </w:p>
    <w:sectPr w:rsidR="00E161ED" w:rsidRPr="00E161E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1BB5" w14:textId="77777777" w:rsidR="00480EFF" w:rsidRDefault="00480EFF" w:rsidP="004B3942">
      <w:pPr>
        <w:spacing w:after="0" w:line="240" w:lineRule="auto"/>
      </w:pPr>
      <w:r>
        <w:separator/>
      </w:r>
    </w:p>
  </w:endnote>
  <w:endnote w:type="continuationSeparator" w:id="0">
    <w:p w14:paraId="514002C2" w14:textId="77777777" w:rsidR="00480EFF" w:rsidRDefault="00480EFF" w:rsidP="004B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7BB4" w14:textId="77777777" w:rsidR="004B3942" w:rsidRDefault="004B3942">
    <w:pPr>
      <w:pStyle w:val="Footer"/>
    </w:pPr>
    <w:r>
      <w:rPr>
        <w:noProof/>
      </w:rPr>
      <w:drawing>
        <wp:inline distT="0" distB="0" distL="0" distR="0" wp14:anchorId="3BB8965F" wp14:editId="336D952D">
          <wp:extent cx="2006600" cy="4213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_co_funded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8762" cy="449140"/>
                  </a:xfrm>
                  <a:prstGeom prst="rect">
                    <a:avLst/>
                  </a:prstGeom>
                </pic:spPr>
              </pic:pic>
            </a:graphicData>
          </a:graphic>
        </wp:inline>
      </w:drawing>
    </w:r>
  </w:p>
  <w:p w14:paraId="60469170" w14:textId="77777777" w:rsidR="004B3942" w:rsidRDefault="004B3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A3BB" w14:textId="77777777" w:rsidR="00480EFF" w:rsidRDefault="00480EFF" w:rsidP="004B3942">
      <w:pPr>
        <w:spacing w:after="0" w:line="240" w:lineRule="auto"/>
      </w:pPr>
      <w:r>
        <w:separator/>
      </w:r>
    </w:p>
  </w:footnote>
  <w:footnote w:type="continuationSeparator" w:id="0">
    <w:p w14:paraId="1E9645E1" w14:textId="77777777" w:rsidR="00480EFF" w:rsidRDefault="00480EFF" w:rsidP="004B3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769D" w14:textId="77777777" w:rsidR="004B3942" w:rsidRDefault="004716E9">
    <w:pPr>
      <w:pStyle w:val="Header"/>
    </w:pPr>
    <w:r>
      <w:rPr>
        <w:noProof/>
      </w:rPr>
      <w:drawing>
        <wp:inline distT="0" distB="0" distL="0" distR="0" wp14:anchorId="61FD4BB2" wp14:editId="4D4DC62D">
          <wp:extent cx="5943600" cy="1109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ri pentru antet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1109345"/>
                  </a:xfrm>
                  <a:prstGeom prst="rect">
                    <a:avLst/>
                  </a:prstGeom>
                </pic:spPr>
              </pic:pic>
            </a:graphicData>
          </a:graphic>
        </wp:inline>
      </w:drawing>
    </w:r>
  </w:p>
  <w:p w14:paraId="6E9F258C" w14:textId="77777777" w:rsidR="004B3942" w:rsidRDefault="004B3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E0F8F"/>
    <w:multiLevelType w:val="multilevel"/>
    <w:tmpl w:val="219A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82103"/>
    <w:multiLevelType w:val="multilevel"/>
    <w:tmpl w:val="2F30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A0D0A"/>
    <w:multiLevelType w:val="multilevel"/>
    <w:tmpl w:val="F2FC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8C4C55"/>
    <w:multiLevelType w:val="multilevel"/>
    <w:tmpl w:val="256E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82A5A"/>
    <w:multiLevelType w:val="multilevel"/>
    <w:tmpl w:val="F5FA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15B1D"/>
    <w:multiLevelType w:val="multilevel"/>
    <w:tmpl w:val="3CC2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33971"/>
    <w:multiLevelType w:val="multilevel"/>
    <w:tmpl w:val="C19C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9458DE"/>
    <w:multiLevelType w:val="multilevel"/>
    <w:tmpl w:val="EEFE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606E71"/>
    <w:multiLevelType w:val="multilevel"/>
    <w:tmpl w:val="8526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800944">
    <w:abstractNumId w:val="4"/>
  </w:num>
  <w:num w:numId="2" w16cid:durableId="2015838069">
    <w:abstractNumId w:val="3"/>
  </w:num>
  <w:num w:numId="3" w16cid:durableId="351302296">
    <w:abstractNumId w:val="5"/>
  </w:num>
  <w:num w:numId="4" w16cid:durableId="1275014162">
    <w:abstractNumId w:val="8"/>
  </w:num>
  <w:num w:numId="5" w16cid:durableId="1108084210">
    <w:abstractNumId w:val="1"/>
  </w:num>
  <w:num w:numId="6" w16cid:durableId="1534688267">
    <w:abstractNumId w:val="2"/>
  </w:num>
  <w:num w:numId="7" w16cid:durableId="1550218010">
    <w:abstractNumId w:val="7"/>
  </w:num>
  <w:num w:numId="8" w16cid:durableId="934557361">
    <w:abstractNumId w:val="0"/>
  </w:num>
  <w:num w:numId="9" w16cid:durableId="9899429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942"/>
    <w:rsid w:val="000435D7"/>
    <w:rsid w:val="00142A6F"/>
    <w:rsid w:val="001B604C"/>
    <w:rsid w:val="001E0713"/>
    <w:rsid w:val="0020618C"/>
    <w:rsid w:val="002F44F3"/>
    <w:rsid w:val="003909F2"/>
    <w:rsid w:val="003C11F3"/>
    <w:rsid w:val="0046710F"/>
    <w:rsid w:val="004716E9"/>
    <w:rsid w:val="00480EFF"/>
    <w:rsid w:val="004B3942"/>
    <w:rsid w:val="00506D0E"/>
    <w:rsid w:val="005D5555"/>
    <w:rsid w:val="00614068"/>
    <w:rsid w:val="0061529E"/>
    <w:rsid w:val="006641B1"/>
    <w:rsid w:val="00680929"/>
    <w:rsid w:val="00687FE2"/>
    <w:rsid w:val="00780F4C"/>
    <w:rsid w:val="0079613B"/>
    <w:rsid w:val="007B6A01"/>
    <w:rsid w:val="007F057F"/>
    <w:rsid w:val="00800A74"/>
    <w:rsid w:val="00966027"/>
    <w:rsid w:val="009950F8"/>
    <w:rsid w:val="00C04A90"/>
    <w:rsid w:val="00C539D5"/>
    <w:rsid w:val="00C578C9"/>
    <w:rsid w:val="00C75342"/>
    <w:rsid w:val="00CA4EFD"/>
    <w:rsid w:val="00CF4799"/>
    <w:rsid w:val="00D41DD3"/>
    <w:rsid w:val="00D746F7"/>
    <w:rsid w:val="00DC57FD"/>
    <w:rsid w:val="00E161ED"/>
    <w:rsid w:val="00F45C74"/>
    <w:rsid w:val="00F849E4"/>
    <w:rsid w:val="00F91A1E"/>
    <w:rsid w:val="00FA5F1C"/>
    <w:rsid w:val="00FC4C2A"/>
    <w:rsid w:val="00FE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10656"/>
  <w15:chartTrackingRefBased/>
  <w15:docId w15:val="{D6C6DC65-76C5-4C66-935B-531B03F4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942"/>
  </w:style>
  <w:style w:type="paragraph" w:styleId="Footer">
    <w:name w:val="footer"/>
    <w:basedOn w:val="Normal"/>
    <w:link w:val="FooterChar"/>
    <w:uiPriority w:val="99"/>
    <w:unhideWhenUsed/>
    <w:rsid w:val="004B3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1413</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Newsletter No. 2 – eAfoBy</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No. 2 – eAfoBy</dc:title>
  <dc:subject>Erasmus+ project eAfoBy</dc:subject>
  <dc:creator>USAMV-Cluj</dc:creator>
  <cp:keywords/>
  <dc:description/>
  <cp:lastModifiedBy>Rompan Service</cp:lastModifiedBy>
  <cp:revision>7</cp:revision>
  <dcterms:created xsi:type="dcterms:W3CDTF">2025-03-11T05:24:00Z</dcterms:created>
  <dcterms:modified xsi:type="dcterms:W3CDTF">2026-10-27T08:36:00Z</dcterms:modified>
</cp:coreProperties>
</file>